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8A" w:rsidRPr="00926565" w:rsidRDefault="00665E8A" w:rsidP="00926565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6565">
        <w:rPr>
          <w:rFonts w:ascii="Times New Roman" w:hAnsi="Times New Roman" w:cs="Times New Roman"/>
          <w:sz w:val="24"/>
          <w:szCs w:val="24"/>
        </w:rPr>
        <w:t>Таблица 70</w:t>
      </w:r>
    </w:p>
    <w:p w:rsidR="00665E8A" w:rsidRPr="00926565" w:rsidRDefault="00AB6A3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6565">
        <w:rPr>
          <w:rFonts w:ascii="Times New Roman" w:hAnsi="Times New Roman" w:cs="Times New Roman"/>
          <w:b w:val="0"/>
          <w:sz w:val="28"/>
          <w:szCs w:val="28"/>
        </w:rPr>
        <w:t>Отчет об исполнении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на совершенствование систем наружного освещения населенных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пунктах в рамках подпрограммы "Комплексная программа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модернизации и реформирования жилищно-коммунального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хозяйства Пензенской области" государственной программы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Пензенской области "Обеспечение жильем и коммунальными</w:t>
      </w:r>
      <w:r w:rsidR="00926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услугами</w:t>
      </w:r>
      <w:r w:rsidRPr="00926565">
        <w:rPr>
          <w:rFonts w:ascii="Times New Roman" w:hAnsi="Times New Roman" w:cs="Times New Roman"/>
          <w:b w:val="0"/>
          <w:sz w:val="28"/>
          <w:szCs w:val="28"/>
        </w:rPr>
        <w:t xml:space="preserve"> населения Пензенской области" з</w:t>
      </w:r>
      <w:r w:rsidR="00665E8A" w:rsidRPr="00926565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665E8A" w:rsidRPr="00926565" w:rsidRDefault="00665E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656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3226"/>
        <w:gridCol w:w="1701"/>
        <w:gridCol w:w="1757"/>
        <w:gridCol w:w="11"/>
      </w:tblGrid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9265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B6A37"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B6A37" w:rsidRPr="009265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B6A37" w:rsidRPr="0092656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2 834,1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2 834,1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Грабовский </w:t>
            </w:r>
            <w:proofErr w:type="gram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Сурск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Чаадаевка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Канаевский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Архангельский </w:t>
            </w:r>
            <w:proofErr w:type="gram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222,1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222,1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Нижнеелюзанский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735,2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735,2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Земетчино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Раевский </w:t>
            </w:r>
            <w:proofErr w:type="gram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Каменка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Большеумысский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Лапшовский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Новошаткинский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Пестровский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Евлашево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Яснополянский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Большетруевский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549,9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549,9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Мокшан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Рамзайский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proofErr w:type="gram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Алеевский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Бикмосеевский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Деминский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Октябрьский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161,8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161,8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660,2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660,2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Никольск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Богословский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Мичуринский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г. Сердобск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Сосновоборск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Вачелайский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Еремеевский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Маркинский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Николо-Барнуковский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Шугуровский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441,5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441,5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Тамала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65E8A" w:rsidRPr="00926565" w:rsidTr="00926565">
        <w:tc>
          <w:tcPr>
            <w:tcW w:w="7433" w:type="dxa"/>
            <w:gridSpan w:val="5"/>
            <w:tcMar>
              <w:top w:w="0" w:type="dxa"/>
              <w:bottom w:w="0" w:type="dxa"/>
            </w:tcMar>
          </w:tcPr>
          <w:p w:rsidR="00665E8A" w:rsidRPr="00926565" w:rsidRDefault="00665E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. Шемышейка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</w:tr>
      <w:tr w:rsidR="00AB6A37" w:rsidRPr="00926565" w:rsidTr="00926565">
        <w:trPr>
          <w:gridAfter w:val="1"/>
          <w:wAfter w:w="11" w:type="dxa"/>
        </w:trPr>
        <w:tc>
          <w:tcPr>
            <w:tcW w:w="738" w:type="dxa"/>
            <w:tcMar>
              <w:top w:w="0" w:type="dxa"/>
              <w:bottom w:w="0" w:type="dxa"/>
            </w:tcMar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9 885,2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AB6A37" w:rsidRPr="00926565" w:rsidRDefault="00AB6A37" w:rsidP="005D4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65">
              <w:rPr>
                <w:rFonts w:ascii="Times New Roman" w:hAnsi="Times New Roman" w:cs="Times New Roman"/>
                <w:sz w:val="24"/>
                <w:szCs w:val="24"/>
              </w:rPr>
              <w:t>9 885,2</w:t>
            </w:r>
          </w:p>
        </w:tc>
      </w:tr>
    </w:tbl>
    <w:p w:rsidR="00610902" w:rsidRPr="00926565" w:rsidRDefault="006109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0902" w:rsidRPr="00926565" w:rsidSect="002F2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8A"/>
    <w:rsid w:val="00610902"/>
    <w:rsid w:val="00665E8A"/>
    <w:rsid w:val="00926565"/>
    <w:rsid w:val="00AB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E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65E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E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65E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3</cp:revision>
  <dcterms:created xsi:type="dcterms:W3CDTF">2024-05-03T07:01:00Z</dcterms:created>
  <dcterms:modified xsi:type="dcterms:W3CDTF">2024-05-22T10:46:00Z</dcterms:modified>
</cp:coreProperties>
</file>